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78" w:rsidRDefault="00822178" w:rsidP="00822178">
      <w:pPr>
        <w:spacing w:after="0" w:line="240" w:lineRule="auto"/>
        <w:jc w:val="center"/>
        <w:rPr>
          <w:rFonts w:ascii="Segoe UI" w:eastAsia="Times New Roman" w:hAnsi="Segoe UI" w:cs="Segoe UI"/>
          <w:b/>
          <w:bCs/>
          <w:color w:val="0000FF"/>
          <w:sz w:val="28"/>
          <w:szCs w:val="28"/>
          <w:lang w:eastAsia="es-CO"/>
        </w:rPr>
      </w:pPr>
    </w:p>
    <w:p w:rsidR="00822178" w:rsidRDefault="00822178" w:rsidP="00822178">
      <w:pPr>
        <w:spacing w:after="0" w:line="240" w:lineRule="auto"/>
        <w:jc w:val="center"/>
        <w:rPr>
          <w:rFonts w:ascii="Segoe UI" w:eastAsia="Times New Roman" w:hAnsi="Segoe UI" w:cs="Segoe UI"/>
          <w:b/>
          <w:bCs/>
          <w:color w:val="0000FF"/>
          <w:sz w:val="28"/>
          <w:szCs w:val="28"/>
          <w:lang w:eastAsia="es-CO"/>
        </w:rPr>
      </w:pPr>
    </w:p>
    <w:p w:rsidR="00822178" w:rsidRPr="00822178" w:rsidRDefault="00822178" w:rsidP="00822178">
      <w:pPr>
        <w:spacing w:after="0" w:line="240" w:lineRule="auto"/>
        <w:jc w:val="center"/>
        <w:rPr>
          <w:rFonts w:ascii="Arial" w:eastAsia="Times New Roman" w:hAnsi="Arial" w:cs="Arial"/>
          <w:color w:val="000000"/>
          <w:sz w:val="18"/>
          <w:szCs w:val="18"/>
          <w:lang w:eastAsia="es-CO"/>
        </w:rPr>
      </w:pPr>
      <w:bookmarkStart w:id="0" w:name="_GoBack"/>
      <w:bookmarkEnd w:id="0"/>
      <w:r w:rsidRPr="00822178">
        <w:rPr>
          <w:rFonts w:ascii="Segoe UI" w:eastAsia="Times New Roman" w:hAnsi="Segoe UI" w:cs="Segoe UI"/>
          <w:b/>
          <w:bCs/>
          <w:color w:val="0000FF"/>
          <w:sz w:val="28"/>
          <w:szCs w:val="28"/>
          <w:lang w:eastAsia="es-CO"/>
        </w:rPr>
        <w:t>Oficio Nº 220-016783</w:t>
      </w:r>
    </w:p>
    <w:p w:rsidR="00822178" w:rsidRPr="00822178" w:rsidRDefault="00822178" w:rsidP="00822178">
      <w:pPr>
        <w:spacing w:after="0" w:line="240" w:lineRule="auto"/>
        <w:jc w:val="center"/>
        <w:rPr>
          <w:rFonts w:ascii="Arial" w:eastAsia="Times New Roman" w:hAnsi="Arial" w:cs="Arial"/>
          <w:color w:val="000000"/>
          <w:sz w:val="18"/>
          <w:szCs w:val="18"/>
          <w:lang w:eastAsia="es-CO"/>
        </w:rPr>
      </w:pPr>
      <w:r w:rsidRPr="00822178">
        <w:rPr>
          <w:rFonts w:ascii="Segoe UI" w:eastAsia="Times New Roman" w:hAnsi="Segoe UI" w:cs="Segoe UI"/>
          <w:b/>
          <w:bCs/>
          <w:color w:val="0000FF"/>
          <w:sz w:val="28"/>
          <w:szCs w:val="28"/>
          <w:lang w:eastAsia="es-CO"/>
        </w:rPr>
        <w:t>08-03-2019</w:t>
      </w:r>
    </w:p>
    <w:p w:rsidR="00822178" w:rsidRPr="00822178" w:rsidRDefault="00822178" w:rsidP="00822178">
      <w:pPr>
        <w:spacing w:after="0" w:line="240" w:lineRule="auto"/>
        <w:jc w:val="center"/>
        <w:rPr>
          <w:rFonts w:ascii="Arial" w:eastAsia="Times New Roman" w:hAnsi="Arial" w:cs="Arial"/>
          <w:color w:val="000000"/>
          <w:sz w:val="18"/>
          <w:szCs w:val="18"/>
          <w:lang w:eastAsia="es-CO"/>
        </w:rPr>
      </w:pPr>
      <w:r w:rsidRPr="00822178">
        <w:rPr>
          <w:rFonts w:ascii="Segoe UI" w:eastAsia="Times New Roman" w:hAnsi="Segoe UI" w:cs="Segoe UI"/>
          <w:b/>
          <w:bCs/>
          <w:color w:val="0000FF"/>
          <w:sz w:val="28"/>
          <w:szCs w:val="28"/>
          <w:lang w:eastAsia="es-CO"/>
        </w:rPr>
        <w:t>Superintendencia de Sociedades</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b/>
          <w:bCs/>
          <w:color w:val="0000FF"/>
          <w:sz w:val="22"/>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b/>
          <w:bCs/>
          <w:color w:val="0000FF"/>
          <w:sz w:val="22"/>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b/>
          <w:bCs/>
          <w:sz w:val="22"/>
          <w:lang w:eastAsia="es-CO"/>
        </w:rPr>
        <w:t>REF: </w:t>
      </w:r>
      <w:r w:rsidRPr="00822178">
        <w:rPr>
          <w:rFonts w:ascii="Segoe UI" w:eastAsia="Times New Roman" w:hAnsi="Segoe UI" w:cs="Segoe UI"/>
          <w:sz w:val="22"/>
          <w:lang w:eastAsia="es-CO"/>
        </w:rPr>
        <w:t>MECANISMOS ANTIDILUCIÓN Y OTROS TEMAS</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sz w:val="22"/>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sz w:val="22"/>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sz w:val="22"/>
          <w:lang w:eastAsia="es-CO"/>
        </w:rPr>
        <w:t>Me refiero a su comunicación radicada con el número 2019-01-025881, mediante la cual formula las siguientes consultas:</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i/>
          <w:iCs/>
          <w:sz w:val="22"/>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i/>
          <w:iCs/>
          <w:sz w:val="22"/>
          <w:lang w:eastAsia="es-CO"/>
        </w:rPr>
        <w:t xml:space="preserve">1. ¿Qué mecanismos de </w:t>
      </w:r>
      <w:proofErr w:type="spellStart"/>
      <w:r w:rsidRPr="00822178">
        <w:rPr>
          <w:rFonts w:ascii="Segoe UI" w:eastAsia="Times New Roman" w:hAnsi="Segoe UI" w:cs="Segoe UI"/>
          <w:i/>
          <w:iCs/>
          <w:sz w:val="22"/>
          <w:lang w:eastAsia="es-CO"/>
        </w:rPr>
        <w:t>antidilución</w:t>
      </w:r>
      <w:proofErr w:type="spellEnd"/>
      <w:r w:rsidRPr="00822178">
        <w:rPr>
          <w:rFonts w:ascii="Segoe UI" w:eastAsia="Times New Roman" w:hAnsi="Segoe UI" w:cs="Segoe UI"/>
          <w:i/>
          <w:iCs/>
          <w:sz w:val="22"/>
          <w:lang w:eastAsia="es-CO"/>
        </w:rPr>
        <w:t xml:space="preserve"> en el porcentaje accionario existen en Colombia para las S.A.S.?</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i/>
          <w:iCs/>
          <w:sz w:val="22"/>
          <w:lang w:eastAsia="es-CO"/>
        </w:rPr>
        <w:t xml:space="preserve">2. ¿Existen formalidades específicas para la inclusión de cláusulas </w:t>
      </w:r>
      <w:proofErr w:type="spellStart"/>
      <w:r w:rsidRPr="00822178">
        <w:rPr>
          <w:rFonts w:ascii="Segoe UI" w:eastAsia="Times New Roman" w:hAnsi="Segoe UI" w:cs="Segoe UI"/>
          <w:i/>
          <w:iCs/>
          <w:sz w:val="22"/>
          <w:lang w:eastAsia="es-CO"/>
        </w:rPr>
        <w:t>antidilución</w:t>
      </w:r>
      <w:proofErr w:type="spellEnd"/>
      <w:r w:rsidRPr="00822178">
        <w:rPr>
          <w:rFonts w:ascii="Segoe UI" w:eastAsia="Times New Roman" w:hAnsi="Segoe UI" w:cs="Segoe UI"/>
          <w:i/>
          <w:iCs/>
          <w:sz w:val="22"/>
          <w:lang w:eastAsia="es-CO"/>
        </w:rPr>
        <w:t xml:space="preserve"> dentro de los estatutos sociales?</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i/>
          <w:iCs/>
          <w:sz w:val="22"/>
          <w:lang w:eastAsia="es-CO"/>
        </w:rPr>
        <w:t>3. ¿Pueden incluirse cláusulas que limiten el derecho a voto de los accionistas de una S.A.S. que contraen matrimonio sin la realización de capitulaciones?</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i/>
          <w:iCs/>
          <w:sz w:val="22"/>
          <w:lang w:eastAsia="es-CO"/>
        </w:rPr>
        <w:t xml:space="preserve">4. </w:t>
      </w:r>
      <w:proofErr w:type="gramStart"/>
      <w:r w:rsidRPr="00822178">
        <w:rPr>
          <w:rFonts w:ascii="Segoe UI" w:eastAsia="Times New Roman" w:hAnsi="Segoe UI" w:cs="Segoe UI"/>
          <w:i/>
          <w:iCs/>
          <w:sz w:val="22"/>
          <w:lang w:eastAsia="es-CO"/>
        </w:rPr>
        <w:t>¿Pueden incluirse limitaciones a las acciones emitidas por una S.A.S. sobre el</w:t>
      </w:r>
      <w:r w:rsidRPr="00822178">
        <w:rPr>
          <w:rFonts w:ascii="Segoe UI" w:eastAsia="Times New Roman" w:hAnsi="Segoe UI" w:cs="Segoe UI"/>
          <w:sz w:val="22"/>
          <w:lang w:eastAsia="es-CO"/>
        </w:rPr>
        <w:t> </w:t>
      </w:r>
      <w:r w:rsidRPr="00822178">
        <w:rPr>
          <w:rFonts w:ascii="Segoe UI" w:eastAsia="Times New Roman" w:hAnsi="Segoe UI" w:cs="Segoe UI"/>
          <w:i/>
          <w:iCs/>
          <w:sz w:val="22"/>
          <w:lang w:eastAsia="es-CO"/>
        </w:rPr>
        <w:t>derecho de voto de las acciones de un causante.</w:t>
      </w:r>
      <w:proofErr w:type="gramEnd"/>
      <w:r w:rsidRPr="00822178">
        <w:rPr>
          <w:rFonts w:ascii="Segoe UI" w:eastAsia="Times New Roman" w:hAnsi="Segoe UI" w:cs="Segoe UI"/>
          <w:i/>
          <w:iCs/>
          <w:sz w:val="22"/>
          <w:lang w:eastAsia="es-CO"/>
        </w:rPr>
        <w:t>?</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sz w:val="22"/>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sz w:val="22"/>
          <w:lang w:eastAsia="es-CO"/>
        </w:rPr>
        <w:t>De forma preliminar es necesario advertir que si bien en virtud de lo dispuesto por el artículo 13 del Código de Procedimiento Administrativo y de lo Contencioso Administrativo, sustituido por la Ley 1755 de 2015, este Despacho emite los conceptos a que haya lugar con motivo de las consultas que le son formuladas sobre las materias de su competencia, estos expresan una opinión general puesto que sus respuestas no están dirigidas a resolver situaciones particulares y concretas, lo que explica, a su vez, que estas no tengan carácter vinculante ni comprometan su responsabilidad.</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color w:val="000000"/>
          <w:sz w:val="18"/>
          <w:szCs w:val="18"/>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color w:val="000000"/>
          <w:sz w:val="18"/>
          <w:szCs w:val="18"/>
          <w:lang w:eastAsia="es-CO"/>
        </w:rPr>
        <w:t>Efectuada la precisión que antecede, conviene precisar que la ley comercial no consagra </w:t>
      </w:r>
      <w:r w:rsidRPr="00822178">
        <w:rPr>
          <w:rFonts w:ascii="Segoe UI" w:eastAsia="Times New Roman" w:hAnsi="Segoe UI" w:cs="Segoe UI"/>
          <w:i/>
          <w:iCs/>
          <w:color w:val="000000"/>
          <w:sz w:val="18"/>
          <w:szCs w:val="18"/>
          <w:lang w:eastAsia="es-CO"/>
        </w:rPr>
        <w:t>una lista taxativa, ni formalidades específicas </w:t>
      </w:r>
      <w:r w:rsidRPr="00822178">
        <w:rPr>
          <w:rFonts w:ascii="Segoe UI" w:eastAsia="Times New Roman" w:hAnsi="Segoe UI" w:cs="Segoe UI"/>
          <w:color w:val="000000"/>
          <w:sz w:val="18"/>
          <w:szCs w:val="18"/>
          <w:lang w:eastAsia="es-CO"/>
        </w:rPr>
        <w:t xml:space="preserve">para incluir mecanismos </w:t>
      </w:r>
      <w:proofErr w:type="spellStart"/>
      <w:r w:rsidRPr="00822178">
        <w:rPr>
          <w:rFonts w:ascii="Segoe UI" w:eastAsia="Times New Roman" w:hAnsi="Segoe UI" w:cs="Segoe UI"/>
          <w:color w:val="000000"/>
          <w:sz w:val="18"/>
          <w:szCs w:val="18"/>
          <w:lang w:eastAsia="es-CO"/>
        </w:rPr>
        <w:t>antidilución</w:t>
      </w:r>
      <w:proofErr w:type="spellEnd"/>
      <w:r w:rsidRPr="00822178">
        <w:rPr>
          <w:rFonts w:ascii="Segoe UI" w:eastAsia="Times New Roman" w:hAnsi="Segoe UI" w:cs="Segoe UI"/>
          <w:color w:val="000000"/>
          <w:sz w:val="18"/>
          <w:szCs w:val="18"/>
          <w:lang w:eastAsia="es-CO"/>
        </w:rPr>
        <w:t xml:space="preserve"> del porcentaje accionario, en las sociedades comerciales ni en particular para las SAS, en cualquier caso, son los socios, quienes en ejercicio del principio de la autonomía de la voluntad privada, deben decidir sobre las disposiciones normativas contractuales para regular el ejercicio de sus derechos políticos y económicos, lo que desde luego incluye fijar los límites para su ejercicio, posibilidad legal que permite anticipar una eventual aplicación de mecanismos </w:t>
      </w:r>
      <w:proofErr w:type="spellStart"/>
      <w:r w:rsidRPr="00822178">
        <w:rPr>
          <w:rFonts w:ascii="Segoe UI" w:eastAsia="Times New Roman" w:hAnsi="Segoe UI" w:cs="Segoe UI"/>
          <w:color w:val="000000"/>
          <w:sz w:val="18"/>
          <w:szCs w:val="18"/>
          <w:lang w:eastAsia="es-CO"/>
        </w:rPr>
        <w:t>antidilución</w:t>
      </w:r>
      <w:proofErr w:type="spellEnd"/>
      <w:r w:rsidRPr="00822178">
        <w:rPr>
          <w:rFonts w:ascii="Segoe UI" w:eastAsia="Times New Roman" w:hAnsi="Segoe UI" w:cs="Segoe UI"/>
          <w:color w:val="000000"/>
          <w:sz w:val="18"/>
          <w:szCs w:val="18"/>
          <w:lang w:eastAsia="es-CO"/>
        </w:rPr>
        <w:t>, que puedan afectar el porcentaje accionario, función que escapa a la órbita de las funciones de esta Superintendencia.</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color w:val="000000"/>
          <w:sz w:val="18"/>
          <w:szCs w:val="18"/>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sz w:val="22"/>
          <w:lang w:eastAsia="es-CO"/>
        </w:rPr>
        <w:t>Confirma lo expuesto el doctor Francisco Reyes Villamizar, cuando expresa que: “</w:t>
      </w:r>
      <w:r w:rsidRPr="00822178">
        <w:rPr>
          <w:rFonts w:ascii="Segoe UI" w:eastAsia="Times New Roman" w:hAnsi="Segoe UI" w:cs="Segoe UI"/>
          <w:i/>
          <w:iCs/>
          <w:sz w:val="22"/>
          <w:lang w:eastAsia="es-CO"/>
        </w:rPr>
        <w:t>uno de los principios en que se ha inspirado la Ley SAS es el de permitir la más amplia autonomía contractual en la redacción de los estatutos sociales. El concepto de sociedad-contrato representa la idea cardinal bajo la cual se establece toda la regulación de la sociedad por acciones simplificada. Se trata de permitirles a las partes definir del modo más amplio las pautas bajo las cuales han de gobernarse las relaciones jurídicas que surgen de la sociedad. Así, las disposiciones contenidas en la Ley 1258 tiene un carácter eminentemente dispositivo de manera que pueden ser reemplazadas por otras previsiones pactadas por los accionistas” </w:t>
      </w:r>
      <w:r w:rsidRPr="00822178">
        <w:rPr>
          <w:rFonts w:ascii="Segoe UI" w:eastAsia="Times New Roman" w:hAnsi="Segoe UI" w:cs="Segoe UI"/>
          <w:sz w:val="22"/>
          <w:lang w:eastAsia="es-CO"/>
        </w:rPr>
        <w:t>(Obra: “La Sociedad por Acciones Simplificada”, página 61, Primera Edición).</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sz w:val="22"/>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sz w:val="22"/>
          <w:lang w:eastAsia="es-CO"/>
        </w:rPr>
        <w:t xml:space="preserve">Adicional y con el ánimo de colaborar en la solución a la inquietud por usted propuesta, se procedió a consultar la jurisprudencia emanada de esta Superintendencia y se encontró el proceso relacionado con un conflicto entre socios, documentado en el expediente número 2012-801-029, en el que se debatió y resolvió un caso de dilución de un accionista a través de una capitalización de acciones, cuyo texto completo podrá revisar en la página web de </w:t>
      </w:r>
      <w:r w:rsidRPr="00822178">
        <w:rPr>
          <w:rFonts w:ascii="Segoe UI" w:eastAsia="Times New Roman" w:hAnsi="Segoe UI" w:cs="Segoe UI"/>
          <w:sz w:val="22"/>
          <w:lang w:eastAsia="es-CO"/>
        </w:rPr>
        <w:lastRenderedPageBreak/>
        <w:t>esta entidad en la siguiente dirección: </w:t>
      </w:r>
      <w:hyperlink r:id="rId4" w:history="1">
        <w:r w:rsidRPr="00822178">
          <w:rPr>
            <w:rFonts w:ascii="Segoe UI" w:eastAsia="Times New Roman" w:hAnsi="Segoe UI" w:cs="Segoe UI"/>
            <w:color w:val="0563C1"/>
            <w:sz w:val="22"/>
            <w:u w:val="single"/>
            <w:lang w:eastAsia="es-CO"/>
          </w:rPr>
          <w:t>www.supersociedades.gov.co</w:t>
        </w:r>
      </w:hyperlink>
      <w:r w:rsidRPr="00822178">
        <w:rPr>
          <w:rFonts w:ascii="Segoe UI" w:eastAsia="Times New Roman" w:hAnsi="Segoe UI" w:cs="Segoe UI"/>
          <w:sz w:val="22"/>
          <w:lang w:eastAsia="es-CO"/>
        </w:rPr>
        <w:t xml:space="preserve"> en el link de la </w:t>
      </w:r>
      <w:proofErr w:type="spellStart"/>
      <w:r w:rsidRPr="00822178">
        <w:rPr>
          <w:rFonts w:ascii="Segoe UI" w:eastAsia="Times New Roman" w:hAnsi="Segoe UI" w:cs="Segoe UI"/>
          <w:sz w:val="22"/>
          <w:lang w:eastAsia="es-CO"/>
        </w:rPr>
        <w:t>Delegatura</w:t>
      </w:r>
      <w:proofErr w:type="spellEnd"/>
      <w:r w:rsidRPr="00822178">
        <w:rPr>
          <w:rFonts w:ascii="Segoe UI" w:eastAsia="Times New Roman" w:hAnsi="Segoe UI" w:cs="Segoe UI"/>
          <w:sz w:val="22"/>
          <w:lang w:eastAsia="es-CO"/>
        </w:rPr>
        <w:t xml:space="preserve"> de Procedimientos Mercantiles.</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sz w:val="22"/>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sz w:val="22"/>
          <w:lang w:eastAsia="es-CO"/>
        </w:rPr>
        <w:t>Algunos apartes de la referida sentencia, se transcriben a continuación:</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i/>
          <w:iCs/>
          <w:sz w:val="22"/>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i/>
          <w:iCs/>
          <w:sz w:val="22"/>
          <w:lang w:eastAsia="es-CO"/>
        </w:rPr>
        <w:t xml:space="preserve">“o. Por una parte, en la demanda se afirma que ‘en este caso es evidente que se llevó a cabo una capitalización abusiva, disfrazada de aparente legalidad en aplicación de los artículos 422 y 420-5 del Código de Comercio […]’ (vid. Folio 29). Además, durante la etapa de fijación del objeto del litigio, el apoderado de CAHC expresó que ‘esa reunión por derecho propio […] se utilizó para tomar decisiones cuya causa o cuya finalidad era evidentemente diluir a Capital </w:t>
      </w:r>
      <w:proofErr w:type="spellStart"/>
      <w:r w:rsidRPr="00822178">
        <w:rPr>
          <w:rFonts w:ascii="Segoe UI" w:eastAsia="Times New Roman" w:hAnsi="Segoe UI" w:cs="Segoe UI"/>
          <w:i/>
          <w:iCs/>
          <w:sz w:val="22"/>
          <w:lang w:eastAsia="es-CO"/>
        </w:rPr>
        <w:t>Airports</w:t>
      </w:r>
      <w:proofErr w:type="spellEnd"/>
      <w:r w:rsidRPr="00822178">
        <w:rPr>
          <w:rFonts w:ascii="Segoe UI" w:eastAsia="Times New Roman" w:hAnsi="Segoe UI" w:cs="Segoe UI"/>
          <w:i/>
          <w:iCs/>
          <w:sz w:val="22"/>
          <w:lang w:eastAsia="es-CO"/>
        </w:rPr>
        <w:t xml:space="preserve"> Holding China. […] Para nosotros lo fundamental es el exceso de los límites del contrato social y la causa ilícita, conforme a lo dispuesto en el artículo 899 del Código de Comercio’.7 Estas afirmaciones se reiteran en el escrito de alegatos de conclusión aportado por el demandante, según el cual ‘las decisiones adoptadas por la Asamblea de Accionistas se reputan ajustadas al ordenamiento jurídico, y son obligatorias a todos los socios, incluso a los disidentes y a los ausentes. Sin embargo, tal obligatoriedad está sujeta a que las decisiones adoptadas lo sean dentro de los límites establecidos en la ley y en el contrato social […]. [Las adoptadas en la reunión por derecho propio celebrada el 2 de abril de 2012] son contrarias a nuestro ordenamiento jurídico, y por ello estarían viciadas de nulidad absoluta en los términos del artículo 899 del Código de Comercio, precisamente por causa ilícita’ (vid. Folio 2207).</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i/>
          <w:iCs/>
          <w:color w:val="000000"/>
          <w:sz w:val="18"/>
          <w:szCs w:val="18"/>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i/>
          <w:iCs/>
          <w:color w:val="000000"/>
          <w:sz w:val="18"/>
          <w:szCs w:val="18"/>
          <w:lang w:eastAsia="es-CO"/>
        </w:rPr>
        <w:t xml:space="preserve">(vid. Folio 2207). Por su parte, en la contestación de la demanda, el apoderado de CAH Colombia S.A. manifestó lo siguiente: ‘Todas las decisiones que impugnó la demandante Capital </w:t>
      </w:r>
      <w:proofErr w:type="spellStart"/>
      <w:r w:rsidRPr="00822178">
        <w:rPr>
          <w:rFonts w:ascii="Segoe UI" w:eastAsia="Times New Roman" w:hAnsi="Segoe UI" w:cs="Segoe UI"/>
          <w:i/>
          <w:iCs/>
          <w:color w:val="000000"/>
          <w:sz w:val="18"/>
          <w:szCs w:val="18"/>
          <w:lang w:eastAsia="es-CO"/>
        </w:rPr>
        <w:t>Airports</w:t>
      </w:r>
      <w:proofErr w:type="spellEnd"/>
      <w:r w:rsidRPr="00822178">
        <w:rPr>
          <w:rFonts w:ascii="Segoe UI" w:eastAsia="Times New Roman" w:hAnsi="Segoe UI" w:cs="Segoe UI"/>
          <w:i/>
          <w:iCs/>
          <w:color w:val="000000"/>
          <w:sz w:val="18"/>
          <w:szCs w:val="18"/>
          <w:lang w:eastAsia="es-CO"/>
        </w:rPr>
        <w:t xml:space="preserve"> fueron tomadas en estricta y rigurosa aplicación de la ley y los estatutos y en uso de las facultades, protecciones y defensas que ambas le confieren al accionista minoritario. […] no es un perjuicio diluir a un accionista y […] en el presente caso la dilución es la consecuencia jurídica del ejercicio de un derecho societario emanado de la ley y los estatutos sociales […]. En virtud de la capitalización efectuada, se diluyó la participación de Capital </w:t>
      </w:r>
      <w:proofErr w:type="spellStart"/>
      <w:r w:rsidRPr="00822178">
        <w:rPr>
          <w:rFonts w:ascii="Segoe UI" w:eastAsia="Times New Roman" w:hAnsi="Segoe UI" w:cs="Segoe UI"/>
          <w:i/>
          <w:iCs/>
          <w:color w:val="000000"/>
          <w:sz w:val="18"/>
          <w:szCs w:val="18"/>
          <w:lang w:eastAsia="es-CO"/>
        </w:rPr>
        <w:t>Airports</w:t>
      </w:r>
      <w:proofErr w:type="spellEnd"/>
      <w:r w:rsidRPr="00822178">
        <w:rPr>
          <w:rFonts w:ascii="Segoe UI" w:eastAsia="Times New Roman" w:hAnsi="Segoe UI" w:cs="Segoe UI"/>
          <w:i/>
          <w:iCs/>
          <w:color w:val="000000"/>
          <w:sz w:val="18"/>
          <w:szCs w:val="18"/>
          <w:lang w:eastAsia="es-CO"/>
        </w:rPr>
        <w:t xml:space="preserve"> Holding Company. Sin embargo, […] tomarse el control de una sociedad vía capitalización no viola ninguna norma legal o estatutaria, en la medida en que dicha norma vaya en beneficio primario de la sociedad y que no genere perjuicios económicos a los demás accionistas’ (vid. Folio 233 - 236).</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i/>
          <w:iCs/>
          <w:sz w:val="22"/>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i/>
          <w:iCs/>
          <w:sz w:val="22"/>
          <w:lang w:eastAsia="es-CO"/>
        </w:rPr>
        <w:t>Uno de los puntos principales de la defensa formulada por CAH Colombia S.A. consistió en alegar que las conductas controvertidas no encajaban dentro de las figuras invocadas por el apoderado de CAHC. Según lo expresado por el apoderado de CAH Colombia S.A. en sus alegatos de conclusión, ‘resulta claro que el concepto de exceso a los límites del contrato social implica necesariamente, según lo explicado en jurisprudencia y doctrina, una transgresión evidente de las reglas contractuales, un sobrepaso de los límites pactados y un desconocimiento del régimen acordado en el contrato de sociedad. […] En verdad salta a la vista que ni la decisión de reformar los estatutos, ni la de capitalizar la compañía, ni la de elegir nuevos miembros de la junta directiva, estaba vedada para la asamblea de accionistas reunida por derecho propio. Por el contrario, todas ellas hacen parte de los temas incluidos bajo el artículo 422 y representan la órbita de competencia del órgano societario’ (vid. Folio 2094). En cuanto a la ilicitud de la causa propuesta por el demandante, el apoderado de CAH Colombia S.A. presentó diferentes argumentos ‘para descartar […] que lo que nos están presentando los demandantes, pues, no es una causa ilícita […]’.8</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i/>
          <w:iCs/>
          <w:sz w:val="22"/>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i/>
          <w:iCs/>
          <w:sz w:val="22"/>
          <w:lang w:eastAsia="es-CO"/>
        </w:rPr>
        <w:t>En vista de las anteriores consideraciones, el Despacho deberá indagar acerca de los motivos que condujeron a la capitalización aprobada en la reunión por derecho propio del 2 de abril de 2012.</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i/>
          <w:iCs/>
          <w:color w:val="000000"/>
          <w:sz w:val="18"/>
          <w:szCs w:val="18"/>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i/>
          <w:iCs/>
          <w:color w:val="000000"/>
          <w:sz w:val="18"/>
          <w:szCs w:val="18"/>
          <w:lang w:eastAsia="es-CO"/>
        </w:rPr>
        <w:t xml:space="preserve">Para tales efectos, a </w:t>
      </w:r>
      <w:proofErr w:type="gramStart"/>
      <w:r w:rsidRPr="00822178">
        <w:rPr>
          <w:rFonts w:ascii="Segoe UI" w:eastAsia="Times New Roman" w:hAnsi="Segoe UI" w:cs="Segoe UI"/>
          <w:i/>
          <w:iCs/>
          <w:color w:val="000000"/>
          <w:sz w:val="18"/>
          <w:szCs w:val="18"/>
          <w:lang w:eastAsia="es-CO"/>
        </w:rPr>
        <w:t>continuación</w:t>
      </w:r>
      <w:proofErr w:type="gramEnd"/>
      <w:r w:rsidRPr="00822178">
        <w:rPr>
          <w:rFonts w:ascii="Segoe UI" w:eastAsia="Times New Roman" w:hAnsi="Segoe UI" w:cs="Segoe UI"/>
          <w:i/>
          <w:iCs/>
          <w:color w:val="000000"/>
          <w:sz w:val="18"/>
          <w:szCs w:val="18"/>
          <w:lang w:eastAsia="es-CO"/>
        </w:rPr>
        <w:t xml:space="preserve"> se presentan algunas consideraciones acerca de la figura de la capitalización abusiva, mencionada por CAHC en su demanda. 1. Acerca de la capitalización abusiva Lo primero que debe decirse es que este Despacho no suele inmiscuirse en la gestión de los asuntos internos de una compañía. Con todo, existen circunstancias que podrían justificar un cercano escrutinio judicial de decisiones adoptadas por los diferentes órganos sociales. 9 Una de tales situaciones está relacionada con el ejercicio del derecho de voto con un propósito indebido. 10 Según se expresó en la </w:t>
      </w:r>
      <w:r w:rsidRPr="00822178">
        <w:rPr>
          <w:rFonts w:ascii="Segoe UI" w:eastAsia="Times New Roman" w:hAnsi="Segoe UI" w:cs="Segoe UI"/>
          <w:b/>
          <w:bCs/>
          <w:i/>
          <w:iCs/>
          <w:color w:val="000000"/>
          <w:sz w:val="18"/>
          <w:szCs w:val="18"/>
          <w:lang w:eastAsia="es-CO"/>
        </w:rPr>
        <w:t>Sentencia No. 800-0073 del 19 de diciembre de 2013, en la cual este Despacho presentó un análisis detallado sobre </w:t>
      </w:r>
      <w:r w:rsidRPr="00822178">
        <w:rPr>
          <w:rFonts w:ascii="Segoe UI" w:eastAsia="Times New Roman" w:hAnsi="Segoe UI" w:cs="Segoe UI"/>
          <w:i/>
          <w:iCs/>
          <w:color w:val="000000"/>
          <w:sz w:val="18"/>
          <w:szCs w:val="18"/>
          <w:lang w:eastAsia="es-CO"/>
        </w:rPr>
        <w:t xml:space="preserve">la materia, ‘el derecho de voto no puede convertirse en un </w:t>
      </w:r>
      <w:r w:rsidRPr="00822178">
        <w:rPr>
          <w:rFonts w:ascii="Segoe UI" w:eastAsia="Times New Roman" w:hAnsi="Segoe UI" w:cs="Segoe UI"/>
          <w:i/>
          <w:iCs/>
          <w:color w:val="000000"/>
          <w:sz w:val="18"/>
          <w:szCs w:val="18"/>
          <w:lang w:eastAsia="es-CO"/>
        </w:rPr>
        <w:lastRenderedPageBreak/>
        <w:t>instrumento para lesionar deliberadamente a la minoría, ni para que el accionista mayoritario se adjudique prerrogativas especiales a expensas de los demás asociados’.11 Es así como, cuando se aporten pruebas que apunten al posible ejercicio irregular del derecho de voto, el Despacho analizará con detenimiento las actuaciones de los accionistas, a fin de establecer si se produjo una actuación censurable.</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b/>
          <w:bCs/>
          <w:i/>
          <w:iCs/>
          <w:sz w:val="22"/>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b/>
          <w:bCs/>
          <w:i/>
          <w:iCs/>
          <w:sz w:val="22"/>
          <w:lang w:eastAsia="es-CO"/>
        </w:rPr>
        <w:t>En la Sentencia No. 800-0073 </w:t>
      </w:r>
      <w:r w:rsidRPr="00822178">
        <w:rPr>
          <w:rFonts w:ascii="Segoe UI" w:eastAsia="Times New Roman" w:hAnsi="Segoe UI" w:cs="Segoe UI"/>
          <w:i/>
          <w:iCs/>
          <w:sz w:val="22"/>
          <w:lang w:eastAsia="es-CO"/>
        </w:rPr>
        <w:t xml:space="preserve">también se hizo referencia a los presupuestos que deben acreditarse para controvertir actuaciones de la naturaleza indicada. 12 Un demandante que invoque la utilización irregular del derecho de voto debe probar, por una parte, que el ejercicio de esa prerrogativa le causó perjuicios a la compañía o alguno de los accionistas o que sirvió para obtener una ventaja injustificada. De otra parte, es indispensable que el derecho de voto haya sido ejercido con el propósito de generar esos efectos ilegítimos. 13 Para Martínez Neira, ‘el titular de un derecho puede hacer uso de él con un propósito ilegítimo, aun cuando se circunscriba a sus límites objetivos. Ello ocurre en el caso en que la finalidad del ejercicio del derecho esté inspirada en la intención ilícita de causar daño a otro, so pretexto de ejercer un derecho del que se es titular. NH Martínez Neira, Cátedra de Derecho Contractual Societario (2010, Bogotá, </w:t>
      </w:r>
      <w:proofErr w:type="spellStart"/>
      <w:r w:rsidRPr="00822178">
        <w:rPr>
          <w:rFonts w:ascii="Segoe UI" w:eastAsia="Times New Roman" w:hAnsi="Segoe UI" w:cs="Segoe UI"/>
          <w:i/>
          <w:iCs/>
          <w:sz w:val="22"/>
          <w:lang w:eastAsia="es-CO"/>
        </w:rPr>
        <w:t>Abeledo</w:t>
      </w:r>
      <w:proofErr w:type="spellEnd"/>
      <w:r w:rsidRPr="00822178">
        <w:rPr>
          <w:rFonts w:ascii="Segoe UI" w:eastAsia="Times New Roman" w:hAnsi="Segoe UI" w:cs="Segoe UI"/>
          <w:i/>
          <w:iCs/>
          <w:sz w:val="22"/>
          <w:lang w:eastAsia="es-CO"/>
        </w:rPr>
        <w:t xml:space="preserve"> </w:t>
      </w:r>
      <w:proofErr w:type="spellStart"/>
      <w:r w:rsidRPr="00822178">
        <w:rPr>
          <w:rFonts w:ascii="Segoe UI" w:eastAsia="Times New Roman" w:hAnsi="Segoe UI" w:cs="Segoe UI"/>
          <w:i/>
          <w:iCs/>
          <w:sz w:val="22"/>
          <w:lang w:eastAsia="es-CO"/>
        </w:rPr>
        <w:t>Perrot</w:t>
      </w:r>
      <w:proofErr w:type="spellEnd"/>
      <w:r w:rsidRPr="00822178">
        <w:rPr>
          <w:rFonts w:ascii="Segoe UI" w:eastAsia="Times New Roman" w:hAnsi="Segoe UI" w:cs="Segoe UI"/>
          <w:i/>
          <w:iCs/>
          <w:sz w:val="22"/>
          <w:lang w:eastAsia="es-CO"/>
        </w:rPr>
        <w:t>) 400.</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i/>
          <w:iCs/>
          <w:sz w:val="22"/>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i/>
          <w:iCs/>
          <w:sz w:val="22"/>
          <w:lang w:eastAsia="es-CO"/>
        </w:rPr>
        <w:t>Para los efectos del presente proceso, es necesario aludir, en particular, </w:t>
      </w:r>
      <w:r w:rsidRPr="00822178">
        <w:rPr>
          <w:rFonts w:ascii="Segoe UI" w:eastAsia="Times New Roman" w:hAnsi="Segoe UI" w:cs="Segoe UI"/>
          <w:b/>
          <w:bCs/>
          <w:i/>
          <w:iCs/>
          <w:sz w:val="22"/>
          <w:lang w:eastAsia="es-CO"/>
        </w:rPr>
        <w:t>al ejercicio irregular del derecho de voto que se presenta en las denominadas capitalizaciones abusivas</w:t>
      </w:r>
      <w:r w:rsidRPr="00822178">
        <w:rPr>
          <w:rFonts w:ascii="Segoe UI" w:eastAsia="Times New Roman" w:hAnsi="Segoe UI" w:cs="Segoe UI"/>
          <w:i/>
          <w:iCs/>
          <w:sz w:val="22"/>
          <w:lang w:eastAsia="es-CO"/>
        </w:rPr>
        <w:t>. Esta figura consiste en aumentar el capital suscrito de una sociedad con el propósito primordial de provocar modificaciones en la distribución porcentual de las acciones en circulación. </w:t>
      </w:r>
      <w:r w:rsidRPr="00822178">
        <w:rPr>
          <w:rFonts w:ascii="Segoe UI" w:eastAsia="Times New Roman" w:hAnsi="Segoe UI" w:cs="Segoe UI"/>
          <w:b/>
          <w:bCs/>
          <w:i/>
          <w:iCs/>
          <w:sz w:val="22"/>
          <w:lang w:eastAsia="es-CO"/>
        </w:rPr>
        <w:t>La capitalización abusiva se presenta, por ejemplo, cuando una emisión primaria de acciones se aprueba para diluir, en forma premeditada, la participación de un accionista en el capital de la compañía. En esta hipótesis, la capitalización no tiene como propósito principal conseguir nuevos recursos para el fondo social, sino que, por el contrario, se convierte en un simple instrumento para expropiar a un asociado. ….” </w:t>
      </w:r>
      <w:r w:rsidRPr="00822178">
        <w:rPr>
          <w:rFonts w:ascii="Segoe UI" w:eastAsia="Times New Roman" w:hAnsi="Segoe UI" w:cs="Segoe UI"/>
          <w:sz w:val="22"/>
          <w:lang w:eastAsia="es-CO"/>
        </w:rPr>
        <w:t>(Negrilla fuera del texto).</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sz w:val="22"/>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sz w:val="22"/>
          <w:lang w:eastAsia="es-CO"/>
        </w:rPr>
        <w:t>En lo que corresponde al </w:t>
      </w:r>
      <w:r w:rsidRPr="00822178">
        <w:rPr>
          <w:rFonts w:ascii="Segoe UI" w:eastAsia="Times New Roman" w:hAnsi="Segoe UI" w:cs="Segoe UI"/>
          <w:b/>
          <w:bCs/>
          <w:sz w:val="22"/>
          <w:lang w:eastAsia="es-CO"/>
        </w:rPr>
        <w:t>punto tercero </w:t>
      </w:r>
      <w:r w:rsidRPr="00822178">
        <w:rPr>
          <w:rFonts w:ascii="Segoe UI" w:eastAsia="Times New Roman" w:hAnsi="Segoe UI" w:cs="Segoe UI"/>
          <w:sz w:val="22"/>
          <w:lang w:eastAsia="es-CO"/>
        </w:rPr>
        <w:t>de su consulta, es de indicar que artículo 24 de la Ley 1258 de 2008, establece que en las sociedades por acciones simplificadas, los acuerdos de accionistas pueden versar sobre la compra o venta de acciones, la preferencia para adquirirlas, las restricciones para transferirlas, el ejercicio del derecho de voto, la persona que habrá de representar las acciones en la asamblea y cualquier otro asunto lícito, los cuales deberán ser acatados por la compañía cuando hubieren sido depositados en las oficinas donde funcione la administración de la sociedad, siempre que su término no fuere superior a diez (10) años, prorrogables por voluntad unánime de sus suscriptores por períodos que no superen los diez (10) años. Siendo así que se pueda pactar todo tipo de acuerdo correspondiente, siempre y cuando el mismo no menoscabe derechos que infrinjan el interés social, teniendo en cuenta su licitud.</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color w:val="000000"/>
          <w:sz w:val="18"/>
          <w:szCs w:val="18"/>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color w:val="000000"/>
          <w:sz w:val="18"/>
          <w:szCs w:val="18"/>
          <w:lang w:eastAsia="es-CO"/>
        </w:rPr>
        <w:t>En igual sentido, el Oficio 220-071420 del 2 de junio de 2015, en la parte pertinente señala: “Por lo demás, no sobra señalar que en todo caso, como los acuerdos de accionistas deben consistir en un asunto lícito y, a su vez, que los estatutos sociales tampoco pueden contrariar la ley, siempre que los primeros no estén en contravía de una norma de derecho imperativa, es factible convenir que tales acuerdos se traduzcan en un pacto estatutario cuando quiera que estén suscritos por todos los accionistas de la compañía”</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sz w:val="22"/>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sz w:val="22"/>
          <w:lang w:eastAsia="es-CO"/>
        </w:rPr>
        <w:t>En este sentido podría afirmarse que si el querer de los socios en una SAS, es limitar el derecho de los socios para que el cónyuge pueda participar de las decisiones sociales, podría resultar viable la suscripción de un acuerdo de sindicación en los términos descritos, cuando se trate de eventos tales como la separación de bienes.</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sz w:val="22"/>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sz w:val="22"/>
          <w:lang w:eastAsia="es-CO"/>
        </w:rPr>
        <w:t>Los referidos acuerdos no aplican para el caso de muerte de un socio, pues el derecho al voto de las acciones del causante en cualquier sociedad comercial incluidas las SAS, fue regulado por el artículo 378 del Código de Comercio, en cuanto dispone lo siguiente </w:t>
      </w:r>
      <w:r w:rsidRPr="00822178">
        <w:rPr>
          <w:rFonts w:ascii="Segoe UI" w:eastAsia="Times New Roman" w:hAnsi="Segoe UI" w:cs="Segoe UI"/>
          <w:i/>
          <w:iCs/>
          <w:sz w:val="22"/>
          <w:lang w:eastAsia="es-CO"/>
        </w:rPr>
        <w:t xml:space="preserve">“Las acciones serán indivisibles y, en consecuencia, cuando por cualquier causa legal o convencional una acción pertenezca a varias personas, estas deberán designar un </w:t>
      </w:r>
      <w:r w:rsidRPr="00822178">
        <w:rPr>
          <w:rFonts w:ascii="Segoe UI" w:eastAsia="Times New Roman" w:hAnsi="Segoe UI" w:cs="Segoe UI"/>
          <w:i/>
          <w:iCs/>
          <w:sz w:val="22"/>
          <w:lang w:eastAsia="es-CO"/>
        </w:rPr>
        <w:lastRenderedPageBreak/>
        <w:t>representante común y único que ejerza los derechos correspondientes a la calidad de accionista.</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i/>
          <w:iCs/>
          <w:sz w:val="22"/>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i/>
          <w:iCs/>
          <w:sz w:val="22"/>
          <w:lang w:eastAsia="es-CO"/>
        </w:rPr>
        <w:t>A falta de acuerdo, el juez del domicilio social designará el representante de tales acciones, a petición de cualquier interesado.</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i/>
          <w:iCs/>
          <w:sz w:val="22"/>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i/>
          <w:iCs/>
          <w:sz w:val="22"/>
          <w:lang w:eastAsia="es-CO"/>
        </w:rPr>
        <w:t>El albacea con tenencia de bienes representará las acciones que pertenezcan a la sucesión ilíquida. Siendo varios los albaceas designarán un solo representante, salvo que uno de ellos hubiere sido autorizado por el juez para tal efecto. A falta de albacea, llevará la representación la persona que elijan por mayoría de votos los sucesores reconocidos en el juicio”</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sz w:val="22"/>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sz w:val="22"/>
          <w:lang w:eastAsia="es-CO"/>
        </w:rPr>
        <w:t xml:space="preserve">En consecuencia, no resulta viable incluir limitaciones al derecho de voto de las acciones de un socio fallecido, porque las reglas </w:t>
      </w:r>
      <w:proofErr w:type="spellStart"/>
      <w:r w:rsidRPr="00822178">
        <w:rPr>
          <w:rFonts w:ascii="Segoe UI" w:eastAsia="Times New Roman" w:hAnsi="Segoe UI" w:cs="Segoe UI"/>
          <w:sz w:val="22"/>
          <w:lang w:eastAsia="es-CO"/>
        </w:rPr>
        <w:t>sucesorales</w:t>
      </w:r>
      <w:proofErr w:type="spellEnd"/>
      <w:r w:rsidRPr="00822178">
        <w:rPr>
          <w:rFonts w:ascii="Segoe UI" w:eastAsia="Times New Roman" w:hAnsi="Segoe UI" w:cs="Segoe UI"/>
          <w:sz w:val="22"/>
          <w:lang w:eastAsia="es-CO"/>
        </w:rPr>
        <w:t xml:space="preserve"> son de orden público y de obligatorio cumplimiento y mal pueden modificarse por acuerdos estatutarios o para sociales.</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color w:val="000000"/>
          <w:sz w:val="18"/>
          <w:szCs w:val="18"/>
          <w:lang w:eastAsia="es-CO"/>
        </w:rPr>
        <w:t> </w:t>
      </w:r>
    </w:p>
    <w:p w:rsidR="00822178" w:rsidRPr="00822178" w:rsidRDefault="00822178" w:rsidP="00822178">
      <w:pPr>
        <w:spacing w:after="0" w:line="240" w:lineRule="auto"/>
        <w:jc w:val="both"/>
        <w:rPr>
          <w:rFonts w:ascii="Arial" w:eastAsia="Times New Roman" w:hAnsi="Arial" w:cs="Arial"/>
          <w:color w:val="000000"/>
          <w:sz w:val="18"/>
          <w:szCs w:val="18"/>
          <w:lang w:eastAsia="es-CO"/>
        </w:rPr>
      </w:pPr>
      <w:r w:rsidRPr="00822178">
        <w:rPr>
          <w:rFonts w:ascii="Segoe UI" w:eastAsia="Times New Roman" w:hAnsi="Segoe UI" w:cs="Segoe UI"/>
          <w:color w:val="000000"/>
          <w:sz w:val="18"/>
          <w:szCs w:val="18"/>
          <w:lang w:eastAsia="es-CO"/>
        </w:rPr>
        <w:t>En los anteriores términos se han respondido sus inquietudes, no sin antes manifestarle que el presente oficio tiene los alcances del artículo 28 del Código de Procedimiento Administrativo y de lo Contencioso Administrativo.</w:t>
      </w:r>
    </w:p>
    <w:p w:rsidR="00822178" w:rsidRPr="00822178" w:rsidRDefault="00822178" w:rsidP="00822178">
      <w:pPr>
        <w:spacing w:after="285" w:line="240" w:lineRule="auto"/>
        <w:jc w:val="both"/>
        <w:rPr>
          <w:rFonts w:ascii="Arial" w:eastAsia="Times New Roman" w:hAnsi="Arial" w:cs="Arial"/>
          <w:color w:val="000000"/>
          <w:sz w:val="18"/>
          <w:szCs w:val="18"/>
          <w:lang w:eastAsia="es-CO"/>
        </w:rPr>
      </w:pPr>
      <w:r w:rsidRPr="00822178">
        <w:rPr>
          <w:rFonts w:ascii="Arial" w:eastAsia="Times New Roman" w:hAnsi="Arial" w:cs="Arial"/>
          <w:color w:val="000000"/>
          <w:sz w:val="18"/>
          <w:szCs w:val="18"/>
          <w:lang w:eastAsia="es-CO"/>
        </w:rPr>
        <w:t> </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78"/>
    <w:rsid w:val="00730617"/>
    <w:rsid w:val="00822178"/>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8A85"/>
  <w15:chartTrackingRefBased/>
  <w15:docId w15:val="{A6C5D180-1AD8-443C-BD26-AEC62726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0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persociedades.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2108</Words>
  <Characters>11599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2019-05-23T00:31:00Z</dcterms:created>
  <dcterms:modified xsi:type="dcterms:W3CDTF">2019-05-23T00:33:00Z</dcterms:modified>
</cp:coreProperties>
</file>